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DBE072">
      <w:pPr>
        <w:rPr>
          <w:rFonts w:ascii="楷体" w:hAnsi="楷体" w:eastAsia="黑体"/>
          <w:b/>
          <w:bCs/>
          <w:color w:val="000000"/>
          <w:sz w:val="28"/>
          <w:szCs w:val="28"/>
        </w:rPr>
      </w:pPr>
      <w:r>
        <w:rPr>
          <w:rFonts w:hint="eastAsia" w:ascii="黑体" w:hAnsi="黑体" w:eastAsia="黑体"/>
          <w:bCs/>
          <w:color w:val="000000"/>
          <w:sz w:val="32"/>
          <w:szCs w:val="32"/>
        </w:rPr>
        <w:t>附件3</w:t>
      </w:r>
    </w:p>
    <w:p w14:paraId="656EAEC4">
      <w:pPr>
        <w:spacing w:line="560" w:lineRule="exact"/>
        <w:jc w:val="center"/>
        <w:rPr>
          <w:rFonts w:hint="eastAsia" w:ascii="微软雅黑" w:hAnsi="华文中宋" w:eastAsia="微软雅黑"/>
          <w:color w:val="000000"/>
          <w:sz w:val="44"/>
          <w:szCs w:val="36"/>
        </w:rPr>
      </w:pPr>
      <w:r>
        <w:rPr>
          <w:rFonts w:hint="eastAsia" w:ascii="微软雅黑" w:hAnsi="华文中宋" w:eastAsia="微软雅黑"/>
          <w:color w:val="000000"/>
          <w:sz w:val="44"/>
          <w:szCs w:val="36"/>
        </w:rPr>
        <w:t>视听设计（新闻漫画）参评作品推荐表</w:t>
      </w:r>
    </w:p>
    <w:tbl>
      <w:tblPr>
        <w:tblStyle w:val="4"/>
        <w:tblW w:w="51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
        <w:gridCol w:w="181"/>
        <w:gridCol w:w="202"/>
        <w:gridCol w:w="378"/>
        <w:gridCol w:w="673"/>
        <w:gridCol w:w="1323"/>
        <w:gridCol w:w="893"/>
        <w:gridCol w:w="1415"/>
        <w:gridCol w:w="343"/>
        <w:gridCol w:w="857"/>
        <w:gridCol w:w="105"/>
        <w:gridCol w:w="772"/>
        <w:gridCol w:w="637"/>
      </w:tblGrid>
      <w:tr w14:paraId="3FBAB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758" w:type="pct"/>
            <w:gridSpan w:val="3"/>
            <w:noWrap w:val="0"/>
            <w:vAlign w:val="center"/>
          </w:tcPr>
          <w:p w14:paraId="1C170F5E">
            <w:pPr>
              <w:widowControl/>
              <w:spacing w:line="40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标题</w:t>
            </w:r>
          </w:p>
        </w:tc>
        <w:tc>
          <w:tcPr>
            <w:tcW w:w="1873" w:type="pct"/>
            <w:gridSpan w:val="4"/>
            <w:noWrap w:val="0"/>
            <w:vAlign w:val="center"/>
          </w:tcPr>
          <w:p w14:paraId="0E26A17F">
            <w:pPr>
              <w:widowControl/>
              <w:spacing w:line="240" w:lineRule="exact"/>
              <w:jc w:val="center"/>
              <w:rPr>
                <w:rFonts w:hint="eastAsia" w:ascii="仿宋_GB2312" w:hAnsi="仿宋" w:eastAsia="仿宋_GB2312"/>
                <w:color w:val="000000"/>
                <w:szCs w:val="21"/>
              </w:rPr>
            </w:pPr>
            <w:r>
              <w:rPr>
                <w:rFonts w:hint="eastAsia" w:ascii="仿宋_GB2312" w:hAnsi="仿宋" w:eastAsia="仿宋_GB2312"/>
                <w:color w:val="000000"/>
                <w:szCs w:val="21"/>
              </w:rPr>
              <w:t>这是个“水”的故事</w:t>
            </w:r>
          </w:p>
          <w:p w14:paraId="62F10BEC">
            <w:pPr>
              <w:widowControl/>
              <w:spacing w:line="240" w:lineRule="exact"/>
              <w:jc w:val="center"/>
              <w:rPr>
                <w:rFonts w:hint="eastAsia" w:ascii="仿宋" w:hAnsi="仿宋" w:eastAsia="仿宋" w:cs="仿宋"/>
                <w:color w:val="000000"/>
                <w:szCs w:val="15"/>
              </w:rPr>
            </w:pPr>
            <w:r>
              <w:rPr>
                <w:rFonts w:hint="eastAsia" w:ascii="仿宋_GB2312" w:hAnsi="仿宋" w:eastAsia="仿宋_GB2312"/>
                <w:color w:val="000000"/>
                <w:szCs w:val="21"/>
              </w:rPr>
              <w:t>但一点都不水</w:t>
            </w:r>
          </w:p>
        </w:tc>
        <w:tc>
          <w:tcPr>
            <w:tcW w:w="1008" w:type="pct"/>
            <w:gridSpan w:val="2"/>
            <w:noWrap w:val="0"/>
            <w:vAlign w:val="center"/>
          </w:tcPr>
          <w:p w14:paraId="5C8148E3">
            <w:pPr>
              <w:widowControl/>
              <w:snapToGrid w:val="0"/>
              <w:jc w:val="center"/>
              <w:rPr>
                <w:rFonts w:hint="eastAsia" w:ascii="华文中宋" w:hAnsi="华文中宋" w:eastAsia="华文中宋"/>
                <w:color w:val="000000"/>
                <w:sz w:val="28"/>
                <w:szCs w:val="28"/>
              </w:rPr>
            </w:pPr>
            <w:r>
              <w:rPr>
                <w:rFonts w:hint="eastAsia" w:ascii="华文中宋" w:hAnsi="华文中宋" w:eastAsia="华文中宋"/>
                <w:color w:val="000000"/>
                <w:sz w:val="24"/>
                <w:szCs w:val="24"/>
              </w:rPr>
              <w:t>作品类别</w:t>
            </w:r>
          </w:p>
        </w:tc>
        <w:tc>
          <w:tcPr>
            <w:tcW w:w="1359" w:type="pct"/>
            <w:gridSpan w:val="4"/>
            <w:noWrap w:val="0"/>
            <w:vAlign w:val="center"/>
          </w:tcPr>
          <w:p w14:paraId="24C8B2AA">
            <w:pPr>
              <w:spacing w:line="240" w:lineRule="exact"/>
              <w:jc w:val="center"/>
              <w:rPr>
                <w:rFonts w:hint="eastAsia" w:ascii="仿宋" w:hAnsi="仿宋" w:eastAsia="仿宋"/>
                <w:color w:val="000000"/>
                <w:sz w:val="28"/>
              </w:rPr>
            </w:pPr>
            <w:r>
              <w:rPr>
                <w:rFonts w:hint="eastAsia" w:ascii="仿宋_GB2312" w:hAnsi="仿宋" w:eastAsia="仿宋_GB2312"/>
                <w:color w:val="000000"/>
                <w:szCs w:val="21"/>
              </w:rPr>
              <w:t>新闻漫画组画(长图)类</w:t>
            </w:r>
          </w:p>
        </w:tc>
      </w:tr>
      <w:tr w14:paraId="72DAE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58" w:type="pct"/>
            <w:gridSpan w:val="3"/>
            <w:noWrap w:val="0"/>
            <w:vAlign w:val="center"/>
          </w:tcPr>
          <w:p w14:paraId="055E80A6">
            <w:pPr>
              <w:widowControl/>
              <w:spacing w:line="40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作者</w:t>
            </w:r>
          </w:p>
        </w:tc>
        <w:tc>
          <w:tcPr>
            <w:tcW w:w="1873" w:type="pct"/>
            <w:gridSpan w:val="4"/>
            <w:noWrap w:val="0"/>
            <w:vAlign w:val="center"/>
          </w:tcPr>
          <w:p w14:paraId="25DB198D">
            <w:pPr>
              <w:spacing w:line="240" w:lineRule="exact"/>
              <w:jc w:val="center"/>
              <w:rPr>
                <w:rFonts w:hint="eastAsia" w:ascii="仿宋" w:hAnsi="仿宋" w:eastAsia="仿宋" w:cs="仿宋"/>
                <w:color w:val="000000"/>
                <w:szCs w:val="15"/>
              </w:rPr>
            </w:pPr>
            <w:r>
              <w:rPr>
                <w:rFonts w:hint="eastAsia" w:ascii="仿宋_GB2312" w:hAnsi="仿宋" w:eastAsia="仿宋_GB2312"/>
                <w:color w:val="000000"/>
                <w:szCs w:val="21"/>
              </w:rPr>
              <w:t>周晨</w:t>
            </w:r>
            <w:r>
              <w:rPr>
                <w:rFonts w:hint="eastAsia" w:ascii="仿宋_GB2312" w:hAnsi="仿宋" w:eastAsia="仿宋_GB2312"/>
                <w:color w:val="000000"/>
                <w:szCs w:val="21"/>
                <w:lang w:val="en-US" w:eastAsia="zh-CN"/>
              </w:rPr>
              <w:t>、布和</w:t>
            </w:r>
          </w:p>
        </w:tc>
        <w:tc>
          <w:tcPr>
            <w:tcW w:w="1008" w:type="pct"/>
            <w:gridSpan w:val="2"/>
            <w:noWrap w:val="0"/>
            <w:vAlign w:val="center"/>
          </w:tcPr>
          <w:p w14:paraId="24597BEA">
            <w:pPr>
              <w:widowControl/>
              <w:spacing w:line="400" w:lineRule="exact"/>
              <w:jc w:val="center"/>
              <w:rPr>
                <w:rFonts w:hint="eastAsia" w:ascii="仿宋_GB2312" w:hAnsi="仿宋" w:eastAsia="仿宋_GB2312"/>
                <w:b/>
                <w:color w:val="000000"/>
                <w:sz w:val="28"/>
                <w:szCs w:val="28"/>
              </w:rPr>
            </w:pPr>
            <w:r>
              <w:rPr>
                <w:rFonts w:hint="eastAsia" w:ascii="华文中宋" w:hAnsi="华文中宋" w:eastAsia="华文中宋"/>
                <w:color w:val="000000"/>
                <w:sz w:val="28"/>
                <w:szCs w:val="20"/>
              </w:rPr>
              <w:t>编辑</w:t>
            </w:r>
          </w:p>
        </w:tc>
        <w:tc>
          <w:tcPr>
            <w:tcW w:w="1359" w:type="pct"/>
            <w:gridSpan w:val="4"/>
            <w:noWrap w:val="0"/>
            <w:vAlign w:val="center"/>
          </w:tcPr>
          <w:p w14:paraId="5B60B329">
            <w:pPr>
              <w:spacing w:line="240" w:lineRule="exact"/>
              <w:jc w:val="center"/>
              <w:rPr>
                <w:rFonts w:hint="eastAsia" w:ascii="仿宋" w:hAnsi="仿宋" w:eastAsia="仿宋" w:cs="仿宋"/>
                <w:color w:val="000000"/>
                <w:szCs w:val="15"/>
              </w:rPr>
            </w:pPr>
            <w:r>
              <w:rPr>
                <w:rFonts w:hint="eastAsia" w:ascii="仿宋_GB2312" w:hAnsi="仿宋" w:eastAsia="仿宋_GB2312"/>
                <w:color w:val="000000"/>
                <w:szCs w:val="21"/>
              </w:rPr>
              <w:t>斯琴塔娜</w:t>
            </w:r>
            <w:r>
              <w:rPr>
                <w:rFonts w:hint="eastAsia" w:ascii="仿宋_GB2312" w:hAnsi="仿宋" w:eastAsia="仿宋_GB2312"/>
                <w:color w:val="000000"/>
                <w:szCs w:val="21"/>
                <w:lang w:eastAsia="zh-CN"/>
              </w:rPr>
              <w:t>、</w:t>
            </w:r>
            <w:r>
              <w:rPr>
                <w:rFonts w:hint="eastAsia" w:ascii="仿宋_GB2312" w:hAnsi="仿宋" w:eastAsia="仿宋_GB2312"/>
                <w:color w:val="000000"/>
                <w:szCs w:val="21"/>
              </w:rPr>
              <w:t>孙枫</w:t>
            </w:r>
            <w:r>
              <w:rPr>
                <w:rFonts w:hint="eastAsia" w:ascii="仿宋_GB2312" w:hAnsi="仿宋" w:eastAsia="仿宋_GB2312"/>
                <w:color w:val="000000"/>
                <w:szCs w:val="21"/>
                <w:lang w:eastAsia="zh-CN"/>
              </w:rPr>
              <w:t>、</w:t>
            </w:r>
            <w:r>
              <w:rPr>
                <w:rFonts w:hint="eastAsia" w:ascii="仿宋_GB2312" w:hAnsi="仿宋" w:eastAsia="仿宋_GB2312"/>
                <w:color w:val="000000"/>
                <w:szCs w:val="21"/>
              </w:rPr>
              <w:t>塔娜</w:t>
            </w:r>
          </w:p>
        </w:tc>
      </w:tr>
      <w:tr w14:paraId="0CABB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exact"/>
          <w:jc w:val="center"/>
        </w:trPr>
        <w:tc>
          <w:tcPr>
            <w:tcW w:w="975" w:type="pct"/>
            <w:gridSpan w:val="4"/>
            <w:noWrap w:val="0"/>
            <w:vAlign w:val="center"/>
          </w:tcPr>
          <w:p w14:paraId="32535C9B">
            <w:pPr>
              <w:widowControl/>
              <w:spacing w:line="300" w:lineRule="exact"/>
              <w:jc w:val="center"/>
              <w:rPr>
                <w:rFonts w:hint="eastAsia" w:ascii="华文中宋" w:hAnsi="华文中宋" w:eastAsia="华文中宋"/>
                <w:sz w:val="28"/>
                <w:szCs w:val="20"/>
              </w:rPr>
            </w:pPr>
            <w:r>
              <w:rPr>
                <w:rFonts w:hint="eastAsia" w:ascii="华文中宋" w:hAnsi="华文中宋" w:eastAsia="华文中宋"/>
                <w:color w:val="000000"/>
                <w:sz w:val="28"/>
                <w:szCs w:val="20"/>
              </w:rPr>
              <w:t>原创单位</w:t>
            </w:r>
          </w:p>
        </w:tc>
        <w:tc>
          <w:tcPr>
            <w:tcW w:w="1656" w:type="pct"/>
            <w:gridSpan w:val="3"/>
            <w:noWrap w:val="0"/>
            <w:vAlign w:val="center"/>
          </w:tcPr>
          <w:p w14:paraId="628DDBEC">
            <w:pPr>
              <w:spacing w:line="240" w:lineRule="exact"/>
              <w:jc w:val="center"/>
              <w:rPr>
                <w:rFonts w:hint="eastAsia" w:ascii="仿宋" w:hAnsi="仿宋" w:eastAsia="仿宋" w:cs="仿宋"/>
                <w:color w:val="000000"/>
                <w:szCs w:val="15"/>
              </w:rPr>
            </w:pPr>
            <w:r>
              <w:rPr>
                <w:rFonts w:hint="eastAsia" w:ascii="仿宋_GB2312" w:hAnsi="仿宋" w:eastAsia="仿宋_GB2312"/>
                <w:color w:val="000000"/>
                <w:szCs w:val="21"/>
              </w:rPr>
              <w:t>通辽市融媒体中心</w:t>
            </w:r>
          </w:p>
        </w:tc>
        <w:tc>
          <w:tcPr>
            <w:tcW w:w="1008" w:type="pct"/>
            <w:gridSpan w:val="2"/>
            <w:noWrap w:val="0"/>
            <w:vAlign w:val="center"/>
          </w:tcPr>
          <w:p w14:paraId="442F74FD">
            <w:pPr>
              <w:widowControl/>
              <w:spacing w:line="400" w:lineRule="exact"/>
              <w:jc w:val="center"/>
              <w:rPr>
                <w:rFonts w:hint="eastAsia" w:ascii="仿宋_GB2312" w:hAnsi="仿宋" w:eastAsia="仿宋_GB2312"/>
                <w:b/>
                <w:sz w:val="28"/>
                <w:szCs w:val="28"/>
              </w:rPr>
            </w:pPr>
            <w:r>
              <w:rPr>
                <w:rFonts w:hint="eastAsia" w:ascii="华文中宋" w:hAnsi="华文中宋" w:eastAsia="华文中宋"/>
                <w:sz w:val="28"/>
                <w:szCs w:val="20"/>
              </w:rPr>
              <w:t>发布日期</w:t>
            </w:r>
          </w:p>
        </w:tc>
        <w:tc>
          <w:tcPr>
            <w:tcW w:w="1359" w:type="pct"/>
            <w:gridSpan w:val="4"/>
            <w:noWrap w:val="0"/>
            <w:vAlign w:val="center"/>
          </w:tcPr>
          <w:p w14:paraId="0AAC2D45">
            <w:pPr>
              <w:spacing w:line="240" w:lineRule="exact"/>
              <w:jc w:val="center"/>
              <w:rPr>
                <w:rFonts w:hint="eastAsia" w:ascii="仿宋_GB2312" w:hAnsi="仿宋" w:eastAsia="仿宋_GB2312"/>
                <w:color w:val="000000"/>
                <w:szCs w:val="21"/>
              </w:rPr>
            </w:pPr>
            <w:r>
              <w:rPr>
                <w:rFonts w:hint="eastAsia" w:ascii="仿宋_GB2312" w:hAnsi="仿宋" w:eastAsia="仿宋_GB2312"/>
                <w:color w:val="000000"/>
                <w:szCs w:val="21"/>
              </w:rPr>
              <w:t>2025年</w:t>
            </w:r>
            <w:r>
              <w:rPr>
                <w:rFonts w:hint="eastAsia" w:ascii="仿宋_GB2312" w:hAnsi="仿宋" w:eastAsia="仿宋_GB2312"/>
                <w:color w:val="000000"/>
                <w:szCs w:val="21"/>
                <w:lang w:val="en-US" w:eastAsia="zh-CN"/>
              </w:rPr>
              <w:t>7</w:t>
            </w:r>
            <w:r>
              <w:rPr>
                <w:rFonts w:hint="eastAsia" w:ascii="仿宋_GB2312" w:hAnsi="仿宋" w:eastAsia="仿宋_GB2312"/>
                <w:color w:val="000000"/>
                <w:szCs w:val="21"/>
              </w:rPr>
              <w:t>月</w:t>
            </w:r>
            <w:r>
              <w:rPr>
                <w:rFonts w:hint="eastAsia" w:ascii="仿宋_GB2312" w:hAnsi="仿宋" w:eastAsia="仿宋_GB2312"/>
                <w:color w:val="000000"/>
                <w:szCs w:val="21"/>
                <w:lang w:val="en-US" w:eastAsia="zh-CN"/>
              </w:rPr>
              <w:t>9</w:t>
            </w:r>
            <w:r>
              <w:rPr>
                <w:rFonts w:hint="eastAsia" w:ascii="仿宋_GB2312" w:hAnsi="仿宋" w:eastAsia="仿宋_GB2312"/>
                <w:color w:val="000000"/>
                <w:szCs w:val="21"/>
              </w:rPr>
              <w:t>日</w:t>
            </w:r>
          </w:p>
          <w:p w14:paraId="7C80DAE4">
            <w:pPr>
              <w:spacing w:line="240" w:lineRule="exact"/>
              <w:jc w:val="center"/>
              <w:rPr>
                <w:rFonts w:hint="eastAsia" w:ascii="仿宋_GB2312" w:hAnsi="仿宋" w:eastAsia="仿宋_GB2312"/>
                <w:sz w:val="24"/>
              </w:rPr>
            </w:pPr>
            <w:r>
              <w:rPr>
                <w:rFonts w:hint="eastAsia" w:ascii="仿宋_GB2312" w:hAnsi="仿宋" w:eastAsia="仿宋_GB2312"/>
                <w:color w:val="000000"/>
                <w:szCs w:val="21"/>
              </w:rPr>
              <w:t>09时01分</w:t>
            </w:r>
          </w:p>
        </w:tc>
      </w:tr>
      <w:tr w14:paraId="4770B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jc w:val="center"/>
        </w:trPr>
        <w:tc>
          <w:tcPr>
            <w:tcW w:w="975" w:type="pct"/>
            <w:gridSpan w:val="4"/>
            <w:noWrap w:val="0"/>
            <w:vAlign w:val="center"/>
          </w:tcPr>
          <w:p w14:paraId="29F6DECA">
            <w:pPr>
              <w:widowControl/>
              <w:spacing w:line="300" w:lineRule="exact"/>
              <w:jc w:val="center"/>
              <w:rPr>
                <w:rFonts w:hint="eastAsia" w:ascii="华文中宋" w:hAnsi="华文中宋" w:eastAsia="华文中宋"/>
                <w:color w:val="000000"/>
                <w:sz w:val="24"/>
              </w:rPr>
            </w:pPr>
            <w:r>
              <w:rPr>
                <w:rFonts w:hint="eastAsia" w:ascii="华文中宋" w:hAnsi="华文中宋" w:eastAsia="华文中宋"/>
                <w:color w:val="000000"/>
                <w:sz w:val="24"/>
              </w:rPr>
              <w:t>所配合的</w:t>
            </w:r>
          </w:p>
          <w:p w14:paraId="446ACE82">
            <w:pPr>
              <w:widowControl/>
              <w:spacing w:line="300" w:lineRule="exact"/>
              <w:jc w:val="center"/>
              <w:rPr>
                <w:rFonts w:hint="eastAsia" w:ascii="仿宋_GB2312" w:hAnsi="仿宋" w:eastAsia="仿宋_GB2312"/>
                <w:color w:val="000000"/>
                <w:sz w:val="24"/>
              </w:rPr>
            </w:pPr>
            <w:r>
              <w:rPr>
                <w:rFonts w:hint="eastAsia" w:ascii="华文中宋" w:hAnsi="华文中宋" w:eastAsia="华文中宋"/>
                <w:color w:val="000000"/>
                <w:sz w:val="24"/>
              </w:rPr>
              <w:t>文字报道标题</w:t>
            </w:r>
          </w:p>
        </w:tc>
        <w:tc>
          <w:tcPr>
            <w:tcW w:w="1656" w:type="pct"/>
            <w:gridSpan w:val="3"/>
            <w:noWrap w:val="0"/>
            <w:vAlign w:val="center"/>
          </w:tcPr>
          <w:p w14:paraId="172EBE67">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Microsoft YaHei UI" w:hAnsi="Microsoft YaHei UI" w:eastAsia="Microsoft YaHei UI" w:cs="Microsoft YaHei UI"/>
                <w:b/>
                <w:bCs/>
                <w:i w:val="0"/>
                <w:iCs w:val="0"/>
                <w:caps w:val="0"/>
                <w:spacing w:val="8"/>
                <w:sz w:val="33"/>
                <w:szCs w:val="33"/>
                <w:shd w:val="clear" w:fill="FFFFFF"/>
              </w:rPr>
            </w:pPr>
            <w:r>
              <w:rPr>
                <w:rFonts w:hint="eastAsia" w:ascii="仿宋_GB2312" w:hAnsi="仿宋" w:eastAsia="仿宋_GB2312" w:cs="Times New Roman"/>
                <w:b w:val="0"/>
                <w:bCs w:val="0"/>
                <w:color w:val="000000"/>
                <w:kern w:val="2"/>
                <w:sz w:val="21"/>
                <w:szCs w:val="21"/>
                <w:lang w:val="en-US" w:eastAsia="zh-CN" w:bidi="ar-SA"/>
              </w:rPr>
              <w:t>这是个“水”的故事</w:t>
            </w:r>
          </w:p>
          <w:p w14:paraId="2D3C313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30" w:afterAutospacing="0" w:line="300" w:lineRule="atLeast"/>
              <w:ind w:left="0" w:right="0" w:firstLine="0"/>
              <w:jc w:val="center"/>
              <w:rPr>
                <w:rFonts w:hint="eastAsia" w:ascii="Microsoft YaHei UI" w:hAnsi="Microsoft YaHei UI" w:eastAsia="Microsoft YaHei UI" w:cs="Microsoft YaHei UI"/>
                <w:i w:val="0"/>
                <w:iCs w:val="0"/>
                <w:caps w:val="0"/>
                <w:spacing w:val="8"/>
                <w:sz w:val="0"/>
                <w:szCs w:val="0"/>
              </w:rPr>
            </w:pPr>
            <w:r>
              <w:rPr>
                <w:rFonts w:hint="eastAsia" w:ascii="仿宋_GB2312" w:hAnsi="仿宋" w:eastAsia="仿宋_GB2312" w:cs="Times New Roman"/>
                <w:b w:val="0"/>
                <w:bCs w:val="0"/>
                <w:color w:val="000000"/>
                <w:kern w:val="2"/>
                <w:sz w:val="21"/>
                <w:szCs w:val="21"/>
                <w:lang w:val="en-US" w:eastAsia="zh-CN" w:bidi="ar-SA"/>
              </w:rPr>
              <w:t>但一点都不水</w:t>
            </w:r>
          </w:p>
          <w:p w14:paraId="5A3481E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rPr>
            </w:pPr>
          </w:p>
          <w:p w14:paraId="209AE3BF">
            <w:pPr>
              <w:widowControl/>
              <w:snapToGrid w:val="0"/>
              <w:rPr>
                <w:rFonts w:hint="eastAsia" w:ascii="仿宋_GB2312" w:hAnsi="仿宋" w:eastAsia="仿宋_GB2312"/>
                <w:color w:val="000000"/>
                <w:sz w:val="28"/>
                <w:szCs w:val="28"/>
              </w:rPr>
            </w:pPr>
          </w:p>
        </w:tc>
        <w:tc>
          <w:tcPr>
            <w:tcW w:w="1008" w:type="pct"/>
            <w:gridSpan w:val="2"/>
            <w:noWrap w:val="0"/>
            <w:vAlign w:val="center"/>
          </w:tcPr>
          <w:p w14:paraId="497715F2">
            <w:pPr>
              <w:widowControl/>
              <w:spacing w:line="300" w:lineRule="exact"/>
              <w:jc w:val="center"/>
              <w:rPr>
                <w:rFonts w:hint="eastAsia" w:ascii="华文中宋" w:hAnsi="华文中宋" w:eastAsia="华文中宋"/>
                <w:color w:val="000000"/>
                <w:sz w:val="24"/>
              </w:rPr>
            </w:pPr>
            <w:r>
              <w:rPr>
                <w:rFonts w:hint="eastAsia" w:ascii="华文中宋" w:hAnsi="华文中宋" w:eastAsia="华文中宋"/>
                <w:color w:val="000000"/>
                <w:sz w:val="24"/>
              </w:rPr>
              <w:t>刊发版面</w:t>
            </w:r>
          </w:p>
          <w:p w14:paraId="7701895F">
            <w:pPr>
              <w:widowControl/>
              <w:snapToGrid w:val="0"/>
              <w:spacing w:line="300" w:lineRule="exact"/>
              <w:jc w:val="center"/>
              <w:rPr>
                <w:rFonts w:hint="eastAsia" w:ascii="华文中宋" w:hAnsi="华文中宋" w:eastAsia="华文中宋"/>
                <w:color w:val="000000"/>
                <w:szCs w:val="21"/>
              </w:rPr>
            </w:pPr>
            <w:r>
              <w:rPr>
                <w:rFonts w:hint="eastAsia" w:ascii="华文中宋" w:hAnsi="华文中宋" w:eastAsia="华文中宋"/>
                <w:color w:val="000000"/>
                <w:sz w:val="16"/>
                <w:szCs w:val="16"/>
              </w:rPr>
              <w:t>(发布端/账号/版次</w:t>
            </w:r>
            <w:r>
              <w:rPr>
                <w:rFonts w:ascii="华文中宋" w:hAnsi="华文中宋" w:eastAsia="华文中宋"/>
                <w:color w:val="000000"/>
                <w:sz w:val="16"/>
                <w:szCs w:val="16"/>
              </w:rPr>
              <w:t xml:space="preserve"> </w:t>
            </w:r>
            <w:r>
              <w:rPr>
                <w:rFonts w:hint="eastAsia" w:ascii="华文中宋" w:hAnsi="华文中宋" w:eastAsia="华文中宋"/>
                <w:color w:val="000000"/>
                <w:sz w:val="16"/>
                <w:szCs w:val="16"/>
              </w:rPr>
              <w:t>)</w:t>
            </w:r>
          </w:p>
        </w:tc>
        <w:tc>
          <w:tcPr>
            <w:tcW w:w="1359" w:type="pct"/>
            <w:gridSpan w:val="4"/>
            <w:noWrap w:val="0"/>
            <w:vAlign w:val="center"/>
          </w:tcPr>
          <w:p w14:paraId="2146C575">
            <w:pPr>
              <w:spacing w:line="240" w:lineRule="exact"/>
              <w:jc w:val="center"/>
              <w:rPr>
                <w:rFonts w:hint="eastAsia" w:ascii="仿宋_GB2312" w:hAnsi="仿宋" w:eastAsia="仿宋_GB2312"/>
                <w:color w:val="000000"/>
                <w:szCs w:val="21"/>
              </w:rPr>
            </w:pPr>
            <w:r>
              <w:rPr>
                <w:rFonts w:hint="eastAsia" w:ascii="仿宋_GB2312" w:hAnsi="仿宋" w:eastAsia="仿宋_GB2312"/>
                <w:color w:val="000000"/>
                <w:szCs w:val="21"/>
              </w:rPr>
              <w:t>“通达融媒”</w:t>
            </w:r>
          </w:p>
          <w:p w14:paraId="694D207C">
            <w:pPr>
              <w:spacing w:line="240" w:lineRule="exact"/>
              <w:jc w:val="center"/>
              <w:rPr>
                <w:rFonts w:hint="eastAsia" w:ascii="仿宋" w:hAnsi="仿宋" w:eastAsia="仿宋" w:cs="仿宋"/>
                <w:color w:val="000000"/>
                <w:szCs w:val="15"/>
              </w:rPr>
            </w:pPr>
            <w:r>
              <w:rPr>
                <w:rFonts w:hint="eastAsia" w:ascii="仿宋_GB2312" w:hAnsi="仿宋" w:eastAsia="仿宋_GB2312"/>
                <w:color w:val="000000"/>
                <w:szCs w:val="21"/>
              </w:rPr>
              <w:t>微信公众号</w:t>
            </w:r>
          </w:p>
        </w:tc>
      </w:tr>
      <w:tr w14:paraId="6D960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exact"/>
          <w:jc w:val="center"/>
        </w:trPr>
        <w:tc>
          <w:tcPr>
            <w:tcW w:w="975" w:type="pct"/>
            <w:gridSpan w:val="4"/>
            <w:noWrap w:val="0"/>
            <w:vAlign w:val="center"/>
          </w:tcPr>
          <w:p w14:paraId="6070984D">
            <w:pPr>
              <w:widowControl/>
              <w:spacing w:line="300" w:lineRule="exact"/>
              <w:jc w:val="center"/>
              <w:rPr>
                <w:rFonts w:hint="eastAsia" w:ascii="华文中宋" w:hAnsi="华文中宋" w:eastAsia="华文中宋"/>
                <w:color w:val="000000"/>
                <w:sz w:val="24"/>
              </w:rPr>
            </w:pPr>
            <w:r>
              <w:rPr>
                <w:rFonts w:hint="eastAsia" w:ascii="华文中宋" w:hAnsi="华文中宋" w:eastAsia="华文中宋"/>
                <w:color w:val="000000"/>
                <w:sz w:val="24"/>
              </w:rPr>
              <w:t>新媒体作品</w:t>
            </w:r>
          </w:p>
          <w:p w14:paraId="29D83F12">
            <w:pPr>
              <w:widowControl/>
              <w:spacing w:line="300" w:lineRule="exact"/>
              <w:jc w:val="center"/>
              <w:rPr>
                <w:rFonts w:hint="eastAsia" w:ascii="华文中宋" w:hAnsi="华文中宋" w:eastAsia="华文中宋"/>
                <w:color w:val="000000"/>
                <w:sz w:val="24"/>
              </w:rPr>
            </w:pPr>
            <w:r>
              <w:rPr>
                <w:rFonts w:hint="eastAsia" w:ascii="华文中宋" w:hAnsi="华文中宋" w:eastAsia="华文中宋"/>
                <w:color w:val="000000"/>
                <w:sz w:val="24"/>
              </w:rPr>
              <w:t>网址</w:t>
            </w:r>
          </w:p>
        </w:tc>
        <w:tc>
          <w:tcPr>
            <w:tcW w:w="2664" w:type="pct"/>
            <w:gridSpan w:val="5"/>
            <w:noWrap w:val="0"/>
            <w:vAlign w:val="center"/>
          </w:tcPr>
          <w:p w14:paraId="48F66D45">
            <w:pPr>
              <w:jc w:val="left"/>
              <w:rPr>
                <w:rFonts w:hint="eastAsia" w:ascii="仿宋" w:hAnsi="仿宋" w:eastAsia="仿宋" w:cs="仿宋"/>
                <w:color w:val="000000"/>
                <w:szCs w:val="15"/>
              </w:rPr>
            </w:pPr>
            <w:r>
              <w:rPr>
                <w:rFonts w:hint="eastAsia" w:ascii="仿宋" w:hAnsi="仿宋" w:eastAsia="仿宋"/>
                <w:sz w:val="18"/>
                <w:szCs w:val="18"/>
              </w:rPr>
              <w:fldChar w:fldCharType="begin"/>
            </w:r>
            <w:r>
              <w:rPr>
                <w:rFonts w:hint="eastAsia" w:ascii="仿宋" w:hAnsi="仿宋" w:eastAsia="仿宋"/>
                <w:sz w:val="18"/>
                <w:szCs w:val="18"/>
              </w:rPr>
              <w:instrText xml:space="preserve"> HYPERLINK "https://mp.weixin.qq.com/s/GqIXwDAZBu5QD6YTVxQxGg" </w:instrText>
            </w:r>
            <w:r>
              <w:rPr>
                <w:rFonts w:hint="eastAsia" w:ascii="仿宋" w:hAnsi="仿宋" w:eastAsia="仿宋"/>
                <w:sz w:val="18"/>
                <w:szCs w:val="18"/>
              </w:rPr>
              <w:fldChar w:fldCharType="separate"/>
            </w:r>
            <w:r>
              <w:rPr>
                <w:rStyle w:val="7"/>
                <w:rFonts w:hint="eastAsia" w:ascii="仿宋" w:hAnsi="仿宋" w:eastAsia="仿宋"/>
                <w:sz w:val="18"/>
                <w:szCs w:val="18"/>
              </w:rPr>
              <w:t>https://mp.weixin.qq.com/s/GqIXwDAZBu5QD6YTVxQxGg</w:t>
            </w:r>
            <w:r>
              <w:rPr>
                <w:rFonts w:hint="eastAsia" w:ascii="仿宋" w:hAnsi="仿宋" w:eastAsia="仿宋"/>
                <w:sz w:val="18"/>
                <w:szCs w:val="18"/>
              </w:rPr>
              <w:fldChar w:fldCharType="end"/>
            </w:r>
            <w:r>
              <w:rPr>
                <w:rFonts w:hint="eastAsia" w:ascii="仿宋" w:hAnsi="仿宋" w:eastAsia="仿宋"/>
                <w:sz w:val="18"/>
                <w:szCs w:val="18"/>
                <w:lang w:val="en-US" w:eastAsia="zh-CN"/>
              </w:rPr>
              <w:t xml:space="preserve"> </w:t>
            </w:r>
          </w:p>
        </w:tc>
        <w:tc>
          <w:tcPr>
            <w:tcW w:w="994" w:type="pct"/>
            <w:gridSpan w:val="3"/>
            <w:noWrap w:val="0"/>
            <w:vAlign w:val="center"/>
          </w:tcPr>
          <w:p w14:paraId="7E7B2DFB">
            <w:pPr>
              <w:spacing w:line="30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66FD0BE7">
            <w:pPr>
              <w:spacing w:line="30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365" w:type="pct"/>
            <w:noWrap w:val="0"/>
            <w:vAlign w:val="center"/>
          </w:tcPr>
          <w:p w14:paraId="60203272">
            <w:pPr>
              <w:spacing w:line="240" w:lineRule="exact"/>
              <w:jc w:val="center"/>
              <w:rPr>
                <w:rFonts w:hint="default" w:ascii="华文中宋" w:hAnsi="华文中宋" w:eastAsia="华文中宋"/>
                <w:color w:val="000000"/>
                <w:sz w:val="28"/>
                <w:szCs w:val="22"/>
                <w:lang w:val="en-US" w:eastAsia="zh-CN"/>
              </w:rPr>
            </w:pPr>
            <w:r>
              <w:rPr>
                <w:rFonts w:hint="eastAsia" w:ascii="仿宋_GB2312" w:hAnsi="仿宋" w:eastAsia="仿宋_GB2312"/>
                <w:color w:val="000000"/>
                <w:szCs w:val="21"/>
                <w:lang w:val="en-US" w:eastAsia="zh-CN"/>
              </w:rPr>
              <w:t>否</w:t>
            </w:r>
          </w:p>
        </w:tc>
      </w:tr>
      <w:tr w14:paraId="4B9E6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26" w:hRule="exact"/>
          <w:jc w:val="center"/>
        </w:trPr>
        <w:tc>
          <w:tcPr>
            <w:tcW w:w="539" w:type="pct"/>
            <w:noWrap w:val="0"/>
            <w:vAlign w:val="center"/>
          </w:tcPr>
          <w:p w14:paraId="7CFFA4F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w:t>
            </w:r>
          </w:p>
          <w:p w14:paraId="690CBBA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品</w:t>
            </w:r>
          </w:p>
          <w:p w14:paraId="37C285B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简</w:t>
            </w:r>
          </w:p>
          <w:p w14:paraId="0F3BF92B">
            <w:pPr>
              <w:widowControl/>
              <w:spacing w:line="320" w:lineRule="exact"/>
              <w:jc w:val="center"/>
              <w:rPr>
                <w:rFonts w:hint="eastAsia" w:ascii="仿宋_GB2312" w:hAnsi="仿宋" w:eastAsia="仿宋_GB2312"/>
                <w:b/>
                <w:color w:val="000000"/>
                <w:sz w:val="28"/>
                <w:szCs w:val="28"/>
              </w:rPr>
            </w:pPr>
            <w:r>
              <w:rPr>
                <w:rFonts w:hint="eastAsia" w:ascii="华文中宋" w:hAnsi="华文中宋" w:eastAsia="华文中宋"/>
                <w:color w:val="000000"/>
                <w:sz w:val="28"/>
              </w:rPr>
              <w:t>介</w:t>
            </w:r>
          </w:p>
        </w:tc>
        <w:tc>
          <w:tcPr>
            <w:tcW w:w="4460" w:type="pct"/>
            <w:gridSpan w:val="12"/>
            <w:noWrap w:val="0"/>
            <w:vAlign w:val="center"/>
          </w:tcPr>
          <w:p w14:paraId="31D1A066">
            <w:pPr>
              <w:keepNext w:val="0"/>
              <w:keepLines w:val="0"/>
              <w:pageBreakBefore w:val="0"/>
              <w:widowControl w:val="0"/>
              <w:kinsoku/>
              <w:wordWrap/>
              <w:overflowPunct/>
              <w:topLinePunct w:val="0"/>
              <w:autoSpaceDE/>
              <w:autoSpaceDN/>
              <w:bidi w:val="0"/>
              <w:adjustRightInd/>
              <w:snapToGrid w:val="0"/>
              <w:ind w:firstLine="420" w:firstLineChars="200"/>
              <w:textAlignment w:val="auto"/>
              <w:rPr>
                <w:sz w:val="21"/>
                <w:szCs w:val="21"/>
              </w:rPr>
            </w:pPr>
            <w:r>
              <w:rPr>
                <w:rFonts w:hint="eastAsia" w:ascii="仿宋" w:hAnsi="仿宋" w:eastAsia="仿宋"/>
                <w:sz w:val="21"/>
                <w:szCs w:val="21"/>
              </w:rPr>
              <w:t>习近平总书记深刻指出：“党的十八大以来，党中央统筹推进水灾害防治、水资源节约、水生态保护修复、水环境治理，建成了一批跨流域跨区域重大引调水工程。”2025年6月30日，国家重大水利工程——引绰济辽工程实现全线试通水。为生动立体呈现这一生态里程碑时刻，通达融媒策划推出漫画产品《这是个“水”的故事 但一点都不水》。作品以“一滴水”的第一人称视角展开，选取具有代表性的场景，将文字叙述、动图与手绘艺术有机融合，生动讲述了绰尔河水跨越391公里、奔赴西辽河流域的壮丽旅程。通过这一富有创意和温度的叙事方式，让网友仿佛置身流动画卷之中，切身感受引绰济辽带来的深刻变化，也使作品在众多引绰济辽传统报道中脱颖而出，引发广泛传播，形成刷屏效应。</w:t>
            </w:r>
            <w:r>
              <w:rPr>
                <w:rFonts w:hint="eastAsia" w:ascii="仿宋_GB2312" w:hAnsi="仿宋_GB2312" w:eastAsia="仿宋_GB2312" w:cs="仿宋_GB2312"/>
                <w:sz w:val="21"/>
                <w:szCs w:val="21"/>
              </w:rPr>
              <w:t>该作品主题鲜明、内容充实，以贴近大众的传播语态，生动展现重大水利工程的社会价值、生态意义与精神内涵，有效破解了重大工程报道枯燥生硬的问题，为漫画表达在重大工程主题宣传中的创新应用提供了有益探索与实践示范。作品一经推出，便引发广大网友强烈共鸣，大家被其新颖的融媒创意所吸引，纷纷主动转发点赞，为引绰济辽工程营造了良好舆论氛围。该作品入选2025年</w:t>
            </w:r>
            <w:r>
              <w:rPr>
                <w:rFonts w:hint="eastAsia" w:ascii="仿宋_GB2312" w:hAnsi="仿宋_GB2312" w:eastAsia="仿宋_GB2312" w:cs="仿宋_GB2312"/>
                <w:sz w:val="21"/>
                <w:szCs w:val="21"/>
                <w:lang w:val="en-US" w:eastAsia="zh-CN"/>
              </w:rPr>
              <w:t>第三季度</w:t>
            </w:r>
            <w:r>
              <w:rPr>
                <w:rFonts w:hint="eastAsia" w:ascii="仿宋_GB2312" w:hAnsi="仿宋_GB2312" w:eastAsia="仿宋_GB2312" w:cs="仿宋_GB2312"/>
                <w:sz w:val="21"/>
                <w:szCs w:val="21"/>
              </w:rPr>
              <w:t>宣传内蒙古好作品。</w:t>
            </w:r>
          </w:p>
          <w:p w14:paraId="5469DF06">
            <w:pPr>
              <w:widowControl/>
              <w:spacing w:line="240" w:lineRule="exact"/>
              <w:jc w:val="left"/>
              <w:rPr>
                <w:rFonts w:hint="eastAsia" w:ascii="仿宋" w:hAnsi="仿宋" w:eastAsia="仿宋" w:cs="仿宋"/>
                <w:color w:val="000000"/>
                <w:szCs w:val="15"/>
              </w:rPr>
            </w:pPr>
          </w:p>
        </w:tc>
      </w:tr>
      <w:tr w14:paraId="48A22F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0" w:hRule="exact"/>
          <w:jc w:val="center"/>
        </w:trPr>
        <w:tc>
          <w:tcPr>
            <w:tcW w:w="539" w:type="pct"/>
            <w:vMerge w:val="restart"/>
            <w:noWrap w:val="0"/>
            <w:vAlign w:val="center"/>
          </w:tcPr>
          <w:p w14:paraId="30CE78C6">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14:paraId="39326C7B">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14:paraId="31D7E52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14:paraId="2995DF4C">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8"/>
              </w:rPr>
              <w:t>据</w:t>
            </w:r>
          </w:p>
        </w:tc>
        <w:tc>
          <w:tcPr>
            <w:tcW w:w="822" w:type="pct"/>
            <w:gridSpan w:val="4"/>
            <w:noWrap w:val="0"/>
            <w:vAlign w:val="center"/>
          </w:tcPr>
          <w:p w14:paraId="61BCD472">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14:paraId="213480EA">
            <w:pPr>
              <w:jc w:val="center"/>
              <w:rPr>
                <w:rFonts w:hint="eastAsia"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3638" w:type="pct"/>
            <w:gridSpan w:val="8"/>
            <w:noWrap w:val="0"/>
            <w:vAlign w:val="center"/>
          </w:tcPr>
          <w:p w14:paraId="42E02FBD">
            <w:pPr>
              <w:spacing w:line="280" w:lineRule="exact"/>
              <w:rPr>
                <w:rFonts w:hint="eastAsia" w:ascii="仿宋" w:hAnsi="仿宋" w:eastAsia="仿宋"/>
                <w:sz w:val="18"/>
                <w:szCs w:val="18"/>
              </w:rPr>
            </w:pPr>
            <w:r>
              <w:rPr>
                <w:rFonts w:hint="eastAsia" w:ascii="仿宋" w:hAnsi="仿宋" w:eastAsia="仿宋"/>
                <w:sz w:val="18"/>
                <w:szCs w:val="18"/>
              </w:rPr>
              <w:t>https://article.xuexi.cn/articles/index.html?art_id=12846244324470035539&amp;t=1757063168427&amp;showmenu=false&amp;cdn=https%3A%2F%2Fregion-neimenggu-resource&amp;study_style_id=feeds_opaque&amp;source=share&amp;share_to=wx_single&amp;item_id=12846244324470035539&amp;ref_read_id=0cfdadba-5ba4-422c-b544-0892bc50ae43_1776129020261</w:t>
            </w:r>
          </w:p>
        </w:tc>
      </w:tr>
      <w:tr w14:paraId="40B022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exact"/>
          <w:jc w:val="center"/>
        </w:trPr>
        <w:tc>
          <w:tcPr>
            <w:tcW w:w="539" w:type="pct"/>
            <w:vMerge w:val="continue"/>
            <w:noWrap w:val="0"/>
            <w:vAlign w:val="center"/>
          </w:tcPr>
          <w:p w14:paraId="737A9580">
            <w:pPr>
              <w:spacing w:line="320" w:lineRule="exact"/>
              <w:jc w:val="center"/>
              <w:rPr>
                <w:rFonts w:hint="eastAsia" w:ascii="华文中宋" w:hAnsi="华文中宋" w:eastAsia="华文中宋"/>
                <w:color w:val="000000"/>
                <w:sz w:val="28"/>
              </w:rPr>
            </w:pPr>
          </w:p>
        </w:tc>
        <w:tc>
          <w:tcPr>
            <w:tcW w:w="822" w:type="pct"/>
            <w:gridSpan w:val="4"/>
            <w:noWrap w:val="0"/>
            <w:vAlign w:val="center"/>
          </w:tcPr>
          <w:p w14:paraId="23C3295E">
            <w:pPr>
              <w:spacing w:line="240" w:lineRule="exact"/>
              <w:jc w:val="center"/>
              <w:rPr>
                <w:rFonts w:hint="eastAsia" w:ascii="楷体" w:hAnsi="楷体" w:eastAsia="楷体" w:cs="楷体"/>
                <w:b/>
                <w:bCs/>
                <w:color w:val="000000"/>
                <w:szCs w:val="21"/>
              </w:rPr>
            </w:pPr>
            <w:r>
              <w:rPr>
                <w:rFonts w:hint="eastAsia" w:ascii="楷体" w:hAnsi="楷体" w:eastAsia="楷体" w:cs="楷体"/>
                <w:b/>
                <w:bCs/>
                <w:color w:val="000000"/>
                <w:szCs w:val="21"/>
              </w:rPr>
              <w:t>该平台</w:t>
            </w:r>
          </w:p>
          <w:p w14:paraId="1B3A5845">
            <w:pPr>
              <w:spacing w:line="240" w:lineRule="exact"/>
              <w:jc w:val="center"/>
              <w:rPr>
                <w:rFonts w:ascii="仿宋" w:hAnsi="仿宋" w:eastAsia="楷体"/>
                <w:color w:val="000000"/>
                <w:szCs w:val="21"/>
              </w:rPr>
            </w:pPr>
            <w:r>
              <w:rPr>
                <w:rFonts w:hint="eastAsia" w:ascii="楷体" w:hAnsi="楷体" w:eastAsia="楷体" w:cs="楷体"/>
                <w:b/>
                <w:bCs/>
                <w:color w:val="000000"/>
                <w:szCs w:val="21"/>
              </w:rPr>
              <w:t>传播量</w:t>
            </w:r>
          </w:p>
        </w:tc>
        <w:tc>
          <w:tcPr>
            <w:tcW w:w="758" w:type="pct"/>
            <w:noWrap w:val="0"/>
            <w:vAlign w:val="center"/>
          </w:tcPr>
          <w:p w14:paraId="558B894C">
            <w:pPr>
              <w:spacing w:line="240" w:lineRule="exact"/>
              <w:jc w:val="center"/>
              <w:rPr>
                <w:rFonts w:hint="default" w:ascii="仿宋" w:hAnsi="仿宋" w:eastAsia="仿宋"/>
                <w:color w:val="000000"/>
                <w:szCs w:val="21"/>
                <w:lang w:val="en-US" w:eastAsia="zh-CN"/>
              </w:rPr>
            </w:pPr>
            <w:r>
              <w:rPr>
                <w:rFonts w:hint="eastAsia" w:ascii="仿宋" w:hAnsi="仿宋" w:eastAsia="仿宋"/>
                <w:color w:val="000000"/>
                <w:szCs w:val="21"/>
                <w:lang w:val="en-US" w:eastAsia="zh-CN"/>
              </w:rPr>
              <w:t>1121</w:t>
            </w:r>
          </w:p>
        </w:tc>
        <w:tc>
          <w:tcPr>
            <w:tcW w:w="512" w:type="pct"/>
            <w:noWrap w:val="0"/>
            <w:vAlign w:val="center"/>
          </w:tcPr>
          <w:p w14:paraId="3C6745E2">
            <w:pPr>
              <w:spacing w:line="240" w:lineRule="exact"/>
              <w:jc w:val="center"/>
              <w:rPr>
                <w:rFonts w:hint="eastAsia" w:ascii="楷体" w:hAnsi="楷体" w:eastAsia="楷体" w:cs="楷体"/>
                <w:b/>
                <w:bCs/>
                <w:color w:val="000000"/>
                <w:szCs w:val="21"/>
              </w:rPr>
            </w:pPr>
            <w:r>
              <w:rPr>
                <w:rFonts w:hint="eastAsia" w:ascii="楷体" w:hAnsi="楷体" w:eastAsia="楷体" w:cs="楷体"/>
                <w:b/>
                <w:bCs/>
                <w:color w:val="000000"/>
                <w:szCs w:val="21"/>
              </w:rPr>
              <w:t>该平台</w:t>
            </w:r>
          </w:p>
          <w:p w14:paraId="62DEF76F">
            <w:pPr>
              <w:spacing w:line="240" w:lineRule="exact"/>
              <w:jc w:val="center"/>
              <w:rPr>
                <w:rFonts w:ascii="仿宋" w:hAnsi="仿宋" w:eastAsia="仿宋"/>
                <w:color w:val="000000"/>
                <w:szCs w:val="21"/>
              </w:rPr>
            </w:pPr>
            <w:r>
              <w:rPr>
                <w:rFonts w:hint="eastAsia" w:ascii="楷体" w:hAnsi="楷体" w:eastAsia="楷体" w:cs="楷体"/>
                <w:b/>
                <w:bCs/>
                <w:color w:val="000000"/>
                <w:szCs w:val="21"/>
              </w:rPr>
              <w:t>互动量</w:t>
            </w:r>
          </w:p>
        </w:tc>
        <w:tc>
          <w:tcPr>
            <w:tcW w:w="811" w:type="pct"/>
            <w:noWrap w:val="0"/>
            <w:vAlign w:val="center"/>
          </w:tcPr>
          <w:p w14:paraId="20A65FFD">
            <w:pPr>
              <w:spacing w:line="240" w:lineRule="exact"/>
              <w:jc w:val="center"/>
              <w:rPr>
                <w:rFonts w:hint="default" w:ascii="仿宋" w:hAnsi="仿宋" w:eastAsia="仿宋"/>
                <w:color w:val="000000"/>
                <w:szCs w:val="21"/>
                <w:lang w:val="en-US" w:eastAsia="zh-CN"/>
              </w:rPr>
            </w:pPr>
            <w:r>
              <w:rPr>
                <w:rFonts w:hint="eastAsia" w:ascii="仿宋_GB2312" w:hAnsi="仿宋" w:eastAsia="仿宋_GB2312"/>
                <w:color w:val="000000"/>
                <w:szCs w:val="21"/>
                <w:lang w:val="en-US" w:eastAsia="zh-CN"/>
              </w:rPr>
              <w:t>550</w:t>
            </w:r>
          </w:p>
        </w:tc>
        <w:tc>
          <w:tcPr>
            <w:tcW w:w="688" w:type="pct"/>
            <w:gridSpan w:val="2"/>
            <w:noWrap w:val="0"/>
            <w:vAlign w:val="center"/>
          </w:tcPr>
          <w:p w14:paraId="680A9BD0">
            <w:pPr>
              <w:spacing w:line="240" w:lineRule="exact"/>
              <w:rPr>
                <w:rFonts w:hint="eastAsia" w:ascii="仿宋" w:hAnsi="仿宋" w:eastAsia="仿宋"/>
                <w:color w:val="000000"/>
                <w:szCs w:val="21"/>
              </w:rPr>
            </w:pPr>
            <w:r>
              <w:rPr>
                <w:rFonts w:hint="eastAsia" w:ascii="楷体" w:hAnsi="楷体" w:eastAsia="楷体" w:cs="楷体"/>
                <w:b/>
                <w:bCs/>
                <w:color w:val="000000"/>
                <w:szCs w:val="21"/>
              </w:rPr>
              <w:t>全网总传播量（万）</w:t>
            </w:r>
          </w:p>
        </w:tc>
        <w:tc>
          <w:tcPr>
            <w:tcW w:w="868" w:type="pct"/>
            <w:gridSpan w:val="3"/>
            <w:noWrap w:val="0"/>
            <w:vAlign w:val="center"/>
          </w:tcPr>
          <w:p w14:paraId="262E737B">
            <w:pPr>
              <w:spacing w:line="240" w:lineRule="exact"/>
              <w:jc w:val="center"/>
              <w:rPr>
                <w:rFonts w:hint="default" w:ascii="仿宋" w:hAnsi="仿宋" w:eastAsia="仿宋"/>
                <w:color w:val="000000"/>
                <w:szCs w:val="21"/>
                <w:lang w:val="en-US" w:eastAsia="zh-CN"/>
              </w:rPr>
            </w:pPr>
            <w:r>
              <w:rPr>
                <w:rFonts w:hint="eastAsia" w:ascii="仿宋_GB2312" w:hAnsi="仿宋" w:eastAsia="仿宋_GB2312"/>
                <w:color w:val="000000"/>
                <w:szCs w:val="21"/>
                <w:lang w:val="en-US" w:eastAsia="zh-CN"/>
              </w:rPr>
              <w:t>20050</w:t>
            </w:r>
          </w:p>
        </w:tc>
      </w:tr>
      <w:tr w14:paraId="02E2D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exact"/>
          <w:jc w:val="center"/>
        </w:trPr>
        <w:tc>
          <w:tcPr>
            <w:tcW w:w="539" w:type="pct"/>
            <w:noWrap w:val="0"/>
            <w:vAlign w:val="center"/>
          </w:tcPr>
          <w:p w14:paraId="46DB1C44">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37386192">
            <w:pPr>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4BB41DE0">
            <w:pPr>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6F7E4ACB">
            <w:pPr>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4B086AC1">
            <w:pPr>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2534C783">
            <w:pPr>
              <w:widowControl/>
              <w:spacing w:line="400" w:lineRule="exact"/>
              <w:jc w:val="center"/>
              <w:rPr>
                <w:rFonts w:hint="eastAsia" w:ascii="华文中宋" w:hAnsi="华文中宋" w:eastAsia="华文中宋"/>
                <w:color w:val="000000"/>
                <w:sz w:val="28"/>
                <w:szCs w:val="20"/>
              </w:rPr>
            </w:pPr>
            <w:r>
              <w:rPr>
                <w:rFonts w:hint="eastAsia" w:ascii="华文中宋" w:hAnsi="华文中宋" w:eastAsia="华文中宋"/>
                <w:sz w:val="28"/>
              </w:rPr>
              <w:t xml:space="preserve">  ︶</w:t>
            </w:r>
          </w:p>
        </w:tc>
        <w:tc>
          <w:tcPr>
            <w:tcW w:w="4460" w:type="pct"/>
            <w:gridSpan w:val="12"/>
            <w:noWrap w:val="0"/>
            <w:vAlign w:val="center"/>
          </w:tcPr>
          <w:p w14:paraId="35294AD5">
            <w:pPr>
              <w:ind w:firstLine="420" w:firstLineChars="200"/>
              <w:rPr>
                <w:rFonts w:hint="eastAsia" w:ascii="华文中宋" w:hAnsi="华文中宋" w:eastAsia="华文中宋"/>
                <w:sz w:val="28"/>
                <w:szCs w:val="20"/>
              </w:rPr>
            </w:pPr>
            <w:r>
              <w:rPr>
                <w:rFonts w:hint="eastAsia" w:ascii="仿宋_GB2312" w:hAnsi="仿宋_GB2312" w:eastAsia="仿宋_GB2312" w:cs="仿宋_GB2312"/>
                <w:sz w:val="21"/>
                <w:szCs w:val="21"/>
              </w:rPr>
              <w:t xml:space="preserve">以引绰济辽河道为叙事主线，以长图画卷为呈现载体，选取极具代表性的工程场景为依托，将文字叙述与手绘创作有机融入漫画表达之中，视角新颖独特、格局开阔宏大，为重大工程主题的融媒体创新报道提供了有益启示与实践借鉴。    </w:t>
            </w:r>
            <w:r>
              <w:rPr>
                <w:rFonts w:hint="eastAsia" w:ascii="华文中宋" w:hAnsi="华文中宋" w:eastAsia="华文中宋"/>
                <w:sz w:val="28"/>
                <w:szCs w:val="20"/>
              </w:rPr>
              <w:t xml:space="preserve">                                    </w:t>
            </w:r>
          </w:p>
          <w:p w14:paraId="679729F2">
            <w:pPr>
              <w:widowControl/>
              <w:spacing w:line="360" w:lineRule="exact"/>
              <w:ind w:firstLine="5040" w:firstLineChars="1800"/>
              <w:jc w:val="left"/>
              <w:rPr>
                <w:rFonts w:ascii="仿宋" w:hAnsi="仿宋" w:eastAsia="仿宋"/>
                <w:color w:val="000000"/>
                <w:szCs w:val="21"/>
              </w:rPr>
            </w:pPr>
            <w:r>
              <w:rPr>
                <w:rFonts w:hint="eastAsia" w:ascii="华文中宋" w:hAnsi="华文中宋" w:eastAsia="华文中宋"/>
                <w:sz w:val="28"/>
                <w:szCs w:val="20"/>
              </w:rPr>
              <w:t>签名：</w:t>
            </w:r>
          </w:p>
          <w:p w14:paraId="38E576D8">
            <w:pPr>
              <w:spacing w:line="360" w:lineRule="exact"/>
              <w:ind w:firstLine="5460" w:firstLineChars="1950"/>
              <w:jc w:val="left"/>
              <w:rPr>
                <w:rFonts w:hint="eastAsia"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14:paraId="2970DABB">
            <w:pPr>
              <w:widowControl/>
              <w:spacing w:line="360" w:lineRule="exact"/>
              <w:ind w:firstLine="3920" w:firstLineChars="1400"/>
              <w:rPr>
                <w:rFonts w:hint="eastAsia" w:ascii="华文中宋" w:hAnsi="华文中宋" w:eastAsia="华文中宋"/>
                <w:sz w:val="28"/>
                <w:szCs w:val="20"/>
              </w:rPr>
            </w:pPr>
            <w:r>
              <w:rPr>
                <w:rFonts w:hint="eastAsia" w:ascii="华文中宋" w:hAnsi="华文中宋" w:eastAsia="华文中宋"/>
                <w:sz w:val="28"/>
                <w:szCs w:val="20"/>
              </w:rPr>
              <w:t xml:space="preserve">          2026年  月  日 </w:t>
            </w:r>
          </w:p>
        </w:tc>
      </w:tr>
      <w:tr w14:paraId="07A05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exact"/>
          <w:jc w:val="center"/>
        </w:trPr>
        <w:tc>
          <w:tcPr>
            <w:tcW w:w="642" w:type="pct"/>
            <w:gridSpan w:val="2"/>
            <w:noWrap w:val="0"/>
            <w:vAlign w:val="center"/>
          </w:tcPr>
          <w:p w14:paraId="46BA8553">
            <w:pPr>
              <w:widowControl/>
              <w:spacing w:line="3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0"/>
              </w:rPr>
              <w:t>联系人</w:t>
            </w:r>
          </w:p>
        </w:tc>
        <w:tc>
          <w:tcPr>
            <w:tcW w:w="1989" w:type="pct"/>
            <w:gridSpan w:val="5"/>
            <w:noWrap w:val="0"/>
            <w:vAlign w:val="center"/>
          </w:tcPr>
          <w:p w14:paraId="4B7670CF">
            <w:pPr>
              <w:widowControl/>
              <w:snapToGrid w:val="0"/>
              <w:jc w:val="center"/>
              <w:rPr>
                <w:rFonts w:hint="eastAsia" w:ascii="仿宋_GB2312" w:hAnsi="仿宋" w:eastAsia="仿宋_GB2312"/>
                <w:color w:val="000000"/>
                <w:sz w:val="28"/>
                <w:szCs w:val="28"/>
              </w:rPr>
            </w:pPr>
            <w:bookmarkStart w:id="0" w:name="_GoBack"/>
            <w:bookmarkEnd w:id="0"/>
          </w:p>
        </w:tc>
        <w:tc>
          <w:tcPr>
            <w:tcW w:w="811" w:type="pct"/>
            <w:noWrap w:val="0"/>
            <w:vAlign w:val="center"/>
          </w:tcPr>
          <w:p w14:paraId="6B5E368E">
            <w:pPr>
              <w:widowControl/>
              <w:spacing w:line="4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1556" w:type="pct"/>
            <w:gridSpan w:val="5"/>
            <w:noWrap w:val="0"/>
            <w:vAlign w:val="center"/>
          </w:tcPr>
          <w:p w14:paraId="6E93CDFE">
            <w:pPr>
              <w:widowControl/>
              <w:snapToGrid w:val="0"/>
              <w:jc w:val="center"/>
              <w:rPr>
                <w:rFonts w:hint="eastAsia" w:ascii="华文中宋" w:hAnsi="华文中宋" w:eastAsia="华文中宋"/>
                <w:color w:val="000000"/>
                <w:sz w:val="28"/>
                <w:szCs w:val="28"/>
              </w:rPr>
            </w:pPr>
          </w:p>
        </w:tc>
      </w:tr>
      <w:tr w14:paraId="7D045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exact"/>
          <w:jc w:val="center"/>
        </w:trPr>
        <w:tc>
          <w:tcPr>
            <w:tcW w:w="642" w:type="pct"/>
            <w:gridSpan w:val="2"/>
            <w:noWrap w:val="0"/>
            <w:vAlign w:val="center"/>
          </w:tcPr>
          <w:p w14:paraId="32F850BE">
            <w:pPr>
              <w:widowControl/>
              <w:spacing w:line="4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1989" w:type="pct"/>
            <w:gridSpan w:val="5"/>
            <w:noWrap w:val="0"/>
            <w:vAlign w:val="center"/>
          </w:tcPr>
          <w:p w14:paraId="71272943">
            <w:pPr>
              <w:widowControl/>
              <w:snapToGrid w:val="0"/>
              <w:rPr>
                <w:rFonts w:hint="eastAsia" w:ascii="仿宋_GB2312" w:hAnsi="仿宋" w:eastAsia="仿宋_GB2312"/>
                <w:color w:val="000000"/>
                <w:sz w:val="28"/>
                <w:szCs w:val="28"/>
              </w:rPr>
            </w:pPr>
          </w:p>
        </w:tc>
        <w:tc>
          <w:tcPr>
            <w:tcW w:w="811" w:type="pct"/>
            <w:noWrap w:val="0"/>
            <w:vAlign w:val="center"/>
          </w:tcPr>
          <w:p w14:paraId="094FF2EA">
            <w:pPr>
              <w:widowControl/>
              <w:spacing w:line="4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1556" w:type="pct"/>
            <w:gridSpan w:val="5"/>
            <w:shd w:val="clear" w:color="auto" w:fill="auto"/>
            <w:noWrap w:val="0"/>
            <w:vAlign w:val="center"/>
          </w:tcPr>
          <w:p w14:paraId="41C443CD">
            <w:pPr>
              <w:widowControl/>
              <w:snapToGrid w:val="0"/>
              <w:jc w:val="center"/>
              <w:rPr>
                <w:rFonts w:hint="eastAsia" w:ascii="仿宋_GB2312" w:hAnsi="仿宋" w:eastAsia="仿宋_GB2312" w:cs="Times New Roman"/>
                <w:color w:val="000000"/>
                <w:kern w:val="2"/>
                <w:sz w:val="21"/>
                <w:szCs w:val="21"/>
                <w:lang w:val="en-US" w:eastAsia="zh-CN" w:bidi="ar-SA"/>
              </w:rPr>
            </w:pPr>
          </w:p>
        </w:tc>
      </w:tr>
      <w:tr w14:paraId="56145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642" w:type="pct"/>
            <w:gridSpan w:val="2"/>
            <w:noWrap w:val="0"/>
            <w:vAlign w:val="center"/>
          </w:tcPr>
          <w:p w14:paraId="1C179822">
            <w:pPr>
              <w:widowControl/>
              <w:spacing w:line="4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地址</w:t>
            </w:r>
          </w:p>
        </w:tc>
        <w:tc>
          <w:tcPr>
            <w:tcW w:w="2800" w:type="pct"/>
            <w:gridSpan w:val="6"/>
            <w:noWrap w:val="0"/>
            <w:vAlign w:val="center"/>
          </w:tcPr>
          <w:p w14:paraId="482C0467">
            <w:pPr>
              <w:widowControl/>
              <w:snapToGrid w:val="0"/>
              <w:jc w:val="both"/>
              <w:rPr>
                <w:rFonts w:hint="eastAsia" w:ascii="仿宋_GB2312" w:hAnsi="仿宋" w:eastAsia="仿宋_GB2312"/>
                <w:color w:val="000000"/>
                <w:sz w:val="28"/>
                <w:szCs w:val="28"/>
              </w:rPr>
            </w:pPr>
          </w:p>
        </w:tc>
        <w:tc>
          <w:tcPr>
            <w:tcW w:w="748" w:type="pct"/>
            <w:gridSpan w:val="3"/>
            <w:noWrap w:val="0"/>
            <w:vAlign w:val="center"/>
          </w:tcPr>
          <w:p w14:paraId="5DB867E5">
            <w:pPr>
              <w:widowControl/>
              <w:spacing w:line="4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808" w:type="pct"/>
            <w:gridSpan w:val="2"/>
            <w:noWrap w:val="0"/>
            <w:vAlign w:val="center"/>
          </w:tcPr>
          <w:p w14:paraId="57FA13DC">
            <w:pPr>
              <w:widowControl/>
              <w:snapToGrid w:val="0"/>
              <w:jc w:val="center"/>
              <w:rPr>
                <w:rFonts w:hint="eastAsia" w:ascii="仿宋_GB2312" w:hAnsi="仿宋" w:eastAsia="仿宋_GB2312"/>
                <w:color w:val="000000"/>
                <w:sz w:val="28"/>
                <w:szCs w:val="28"/>
              </w:rPr>
            </w:pPr>
          </w:p>
        </w:tc>
      </w:tr>
    </w:tbl>
    <w:p w14:paraId="0BF8AC79">
      <w:pPr>
        <w:keepNext w:val="0"/>
        <w:keepLines w:val="0"/>
        <w:pageBreakBefore w:val="0"/>
        <w:widowControl w:val="0"/>
        <w:kinsoku/>
        <w:wordWrap/>
        <w:overflowPunct/>
        <w:topLinePunct w:val="0"/>
        <w:autoSpaceDE/>
        <w:autoSpaceDN/>
        <w:bidi w:val="0"/>
        <w:adjustRightInd/>
        <w:snapToGrid/>
        <w:spacing w:line="12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9D1ED2"/>
    <w:rsid w:val="0F7B24F3"/>
    <w:rsid w:val="12046804"/>
    <w:rsid w:val="49410D19"/>
    <w:rsid w:val="4B493904"/>
    <w:rsid w:val="4D9D1ED2"/>
    <w:rsid w:val="500F3E5F"/>
    <w:rsid w:val="62A105EC"/>
    <w:rsid w:val="739A5FC5"/>
    <w:rsid w:val="F6AFF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styleId="6">
    <w:name w:val="Emphasis"/>
    <w:basedOn w:val="5"/>
    <w:qFormat/>
    <w:uiPriority w:val="0"/>
    <w:rPr>
      <w:i/>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844</Words>
  <Characters>1216</Characters>
  <Lines>0</Lines>
  <Paragraphs>0</Paragraphs>
  <TotalTime>15</TotalTime>
  <ScaleCrop>false</ScaleCrop>
  <LinksUpToDate>false</LinksUpToDate>
  <CharactersWithSpaces>1278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2026-04-13T17:13:00Z</dcterms:created>
  <dc:creator>搁浅</dc:creator>
  <cp:lastModifiedBy>寂寞雨伞</cp:lastModifiedBy>
  <dcterms:modified xsi:type="dcterms:W3CDTF">2026-04-21T10:27:13Z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C729402FF5994C5F83A3116E59B082E2_13</vt:lpwstr>
  </property>
  <property fmtid="{D5CDD505-2E9C-101B-9397-08002B2CF9AE}" pid="4" name="KSOTemplateDocerSaveRecord">
    <vt:lpwstr>eyJoZGlkIjoiMjhmNDk5YjlhZWVlYzhiNDVmNjgxMTk5M2JmMGNlMjAiLCJ1c2VySWQiOiIzMzUwOTgyMzEifQ==</vt:lpwstr>
  </property>
</Properties>
</file>